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79" w:rsidRDefault="001E41E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720725</wp:posOffset>
            </wp:positionV>
            <wp:extent cx="6104890" cy="2528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200" w:lineRule="exact"/>
        <w:rPr>
          <w:sz w:val="24"/>
          <w:szCs w:val="24"/>
        </w:rPr>
      </w:pPr>
    </w:p>
    <w:p w:rsidR="00A30B79" w:rsidRDefault="00A30B79">
      <w:pPr>
        <w:spacing w:line="372" w:lineRule="exact"/>
        <w:rPr>
          <w:sz w:val="24"/>
          <w:szCs w:val="24"/>
        </w:rPr>
      </w:pPr>
      <w:bookmarkStart w:id="0" w:name="_GoBack"/>
      <w:bookmarkEnd w:id="0"/>
    </w:p>
    <w:p w:rsidR="00A30B79" w:rsidRDefault="001E41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 РЕГИСТРАЦИЯ УЧАСТНИКОВ В БАЗЕ РОССИЙСКОГО РЕЙТИНГА.</w:t>
      </w:r>
    </w:p>
    <w:p w:rsidR="00A30B79" w:rsidRDefault="00A30B79">
      <w:pPr>
        <w:spacing w:line="56" w:lineRule="exact"/>
        <w:rPr>
          <w:sz w:val="24"/>
          <w:szCs w:val="24"/>
        </w:rPr>
      </w:pPr>
    </w:p>
    <w:p w:rsidR="00A30B79" w:rsidRDefault="001E41E4">
      <w:pPr>
        <w:numPr>
          <w:ilvl w:val="0"/>
          <w:numId w:val="1"/>
        </w:numPr>
        <w:tabs>
          <w:tab w:val="left" w:pos="672"/>
        </w:tabs>
        <w:spacing w:line="229" w:lineRule="auto"/>
        <w:ind w:right="500" w:firstLine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российской базе могут быть зарегистрированы только граждане РФ. Организаторам необходимо присылать региональному рейтинговому администратору (далее – РРА) субъекта РФ, в котором </w:t>
      </w:r>
      <w:r>
        <w:rPr>
          <w:rFonts w:ascii="Calibri" w:eastAsia="Calibri" w:hAnsi="Calibri" w:cs="Calibri"/>
          <w:sz w:val="24"/>
          <w:szCs w:val="24"/>
        </w:rPr>
        <w:t>планируется проведение соревнования, сканы российских документов участников для присвоение национальных идентификаторов (далее – НИ).</w:t>
      </w:r>
    </w:p>
    <w:p w:rsidR="00A30B79" w:rsidRDefault="00A30B79">
      <w:pPr>
        <w:spacing w:line="63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 w:rsidP="001E41E4">
      <w:pPr>
        <w:spacing w:line="216" w:lineRule="auto"/>
        <w:ind w:left="280" w:right="166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Вместе со сканами присылаете заполненную </w:t>
      </w:r>
      <w:hyperlink r:id="rId6" w:history="1">
        <w:r w:rsidRPr="001E41E4">
          <w:rPr>
            <w:rStyle w:val="a3"/>
            <w:rFonts w:ascii="Calibri" w:eastAsia="Calibri" w:hAnsi="Calibri" w:cs="Calibri"/>
            <w:sz w:val="24"/>
            <w:szCs w:val="24"/>
          </w:rPr>
          <w:t>форму правки</w:t>
        </w:r>
      </w:hyperlink>
      <w:r>
        <w:rPr>
          <w:rFonts w:ascii="Calibri" w:eastAsia="Calibri" w:hAnsi="Calibri" w:cs="Calibri"/>
          <w:sz w:val="24"/>
          <w:szCs w:val="24"/>
        </w:rPr>
        <w:t xml:space="preserve">. Присвоенные идентификаторы – по ссылке </w:t>
      </w:r>
      <w:hyperlink r:id="rId7" w:history="1">
        <w:r w:rsidRPr="007A09DC">
          <w:rPr>
            <w:rStyle w:val="a3"/>
            <w:rFonts w:ascii="Calibri" w:eastAsia="Calibri" w:hAnsi="Calibri" w:cs="Calibri"/>
            <w:sz w:val="24"/>
            <w:szCs w:val="24"/>
          </w:rPr>
          <w:t>http://ratings.ruchess.ru/people</w:t>
        </w:r>
      </w:hyperlink>
    </w:p>
    <w:p w:rsidR="001E41E4" w:rsidRDefault="001E41E4" w:rsidP="001E41E4">
      <w:pPr>
        <w:spacing w:line="216" w:lineRule="auto"/>
        <w:ind w:left="280" w:right="1660"/>
        <w:rPr>
          <w:sz w:val="24"/>
          <w:szCs w:val="24"/>
        </w:rPr>
      </w:pPr>
    </w:p>
    <w:p w:rsidR="00A30B79" w:rsidRDefault="001E41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 ПРОВЕДЕНИЕ СОРЕВНОВАНИЙ.</w:t>
      </w:r>
    </w:p>
    <w:p w:rsidR="00A30B79" w:rsidRDefault="00A30B79">
      <w:pPr>
        <w:spacing w:line="55" w:lineRule="exact"/>
        <w:rPr>
          <w:sz w:val="24"/>
          <w:szCs w:val="24"/>
        </w:rPr>
      </w:pPr>
    </w:p>
    <w:p w:rsidR="00A30B79" w:rsidRDefault="001E41E4">
      <w:pPr>
        <w:numPr>
          <w:ilvl w:val="0"/>
          <w:numId w:val="2"/>
        </w:numPr>
        <w:tabs>
          <w:tab w:val="left" w:pos="281"/>
        </w:tabs>
        <w:spacing w:line="215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течение одного дня время игры в турнире с классическим контролем не должно превышать 12 часов.</w:t>
      </w:r>
    </w:p>
    <w:p w:rsidR="00A30B79" w:rsidRDefault="001E41E4">
      <w:pPr>
        <w:spacing w:line="23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Турнир по шахматам не может продолжаться более 30 календарных дней.</w:t>
      </w:r>
    </w:p>
    <w:p w:rsidR="00A30B79" w:rsidRDefault="00A30B79">
      <w:pPr>
        <w:spacing w:line="61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spacing w:line="215" w:lineRule="auto"/>
        <w:ind w:righ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Турнир по быстрым шахматам н</w:t>
      </w:r>
      <w:r>
        <w:rPr>
          <w:rFonts w:ascii="Calibri" w:eastAsia="Calibri" w:hAnsi="Calibri" w:cs="Calibri"/>
          <w:sz w:val="24"/>
          <w:szCs w:val="24"/>
        </w:rPr>
        <w:t>е может продолжаться более 5 календарных дней. Турнир по блицу не может продолжаться более 2 календарных дней.</w:t>
      </w:r>
    </w:p>
    <w:p w:rsidR="00A30B79" w:rsidRDefault="00A30B79">
      <w:pPr>
        <w:spacing w:line="282" w:lineRule="exact"/>
        <w:rPr>
          <w:sz w:val="24"/>
          <w:szCs w:val="24"/>
        </w:rPr>
      </w:pPr>
    </w:p>
    <w:p w:rsidR="00A30B79" w:rsidRDefault="001E41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III. ПОРЯДОК СДАЧИ ОТЧЁТА О ТУРНИРЕ.</w:t>
      </w:r>
    </w:p>
    <w:p w:rsidR="00A30B79" w:rsidRDefault="00A30B79">
      <w:pPr>
        <w:spacing w:line="55" w:lineRule="exact"/>
        <w:rPr>
          <w:sz w:val="24"/>
          <w:szCs w:val="24"/>
        </w:rPr>
      </w:pPr>
    </w:p>
    <w:p w:rsidR="00A30B79" w:rsidRDefault="001E41E4">
      <w:pPr>
        <w:spacing w:line="215" w:lineRule="auto"/>
        <w:ind w:firstLine="28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 окончании соревнования в течение 30 дней организаторы обязаны отправить РРА отчёт, в котором должны при</w:t>
      </w:r>
      <w:r>
        <w:rPr>
          <w:rFonts w:ascii="Calibri" w:eastAsia="Calibri" w:hAnsi="Calibri" w:cs="Calibri"/>
          <w:sz w:val="24"/>
          <w:szCs w:val="24"/>
        </w:rPr>
        <w:t>сутствовать следующие документы:</w:t>
      </w:r>
    </w:p>
    <w:p w:rsidR="00A30B79" w:rsidRDefault="00A30B79">
      <w:pPr>
        <w:spacing w:line="61" w:lineRule="exact"/>
        <w:rPr>
          <w:sz w:val="24"/>
          <w:szCs w:val="24"/>
        </w:rPr>
      </w:pPr>
    </w:p>
    <w:p w:rsidR="00A30B79" w:rsidRDefault="001E41E4">
      <w:pPr>
        <w:numPr>
          <w:ilvl w:val="0"/>
          <w:numId w:val="3"/>
        </w:numPr>
        <w:tabs>
          <w:tab w:val="left" w:pos="758"/>
        </w:tabs>
        <w:spacing w:line="215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Жеребьевочный файл, в котором название турнира и фамилии участников и судей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обязательно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заполнять на русском языке с указанием НИ.</w:t>
      </w:r>
    </w:p>
    <w:p w:rsidR="00A30B79" w:rsidRDefault="001E41E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4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Положение турнира.</w:t>
      </w:r>
    </w:p>
    <w:p w:rsidR="00A30B79" w:rsidRDefault="00A30B7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3"/>
        </w:numPr>
        <w:tabs>
          <w:tab w:val="left" w:pos="720"/>
        </w:tabs>
        <w:ind w:left="720" w:hanging="4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Отчёт главного судьи, заверенный подписью этого судьи (</w:t>
      </w:r>
      <w:hyperlink r:id="rId8" w:history="1">
        <w:r w:rsidRPr="001E41E4">
          <w:rPr>
            <w:rStyle w:val="a3"/>
            <w:rFonts w:ascii="Calibri" w:eastAsia="Calibri" w:hAnsi="Calibri" w:cs="Calibri"/>
            <w:sz w:val="24"/>
            <w:szCs w:val="24"/>
          </w:rPr>
          <w:t>при</w:t>
        </w:r>
        <w:r w:rsidRPr="001E41E4">
          <w:rPr>
            <w:rStyle w:val="a3"/>
            <w:rFonts w:ascii="Calibri" w:eastAsia="Calibri" w:hAnsi="Calibri" w:cs="Calibri"/>
            <w:sz w:val="24"/>
            <w:szCs w:val="24"/>
          </w:rPr>
          <w:t>м</w:t>
        </w:r>
        <w:r w:rsidRPr="001E41E4">
          <w:rPr>
            <w:rStyle w:val="a3"/>
            <w:rFonts w:ascii="Calibri" w:eastAsia="Calibri" w:hAnsi="Calibri" w:cs="Calibri"/>
            <w:sz w:val="24"/>
            <w:szCs w:val="24"/>
          </w:rPr>
          <w:t>ер</w:t>
        </w:r>
      </w:hyperlink>
      <w:r>
        <w:rPr>
          <w:rFonts w:ascii="Calibri" w:eastAsia="Calibri" w:hAnsi="Calibri" w:cs="Calibri"/>
          <w:sz w:val="24"/>
          <w:szCs w:val="24"/>
        </w:rPr>
        <w:t>).</w:t>
      </w:r>
    </w:p>
    <w:p w:rsidR="00A30B79" w:rsidRDefault="00A30B79">
      <w:pPr>
        <w:spacing w:line="2" w:lineRule="exact"/>
        <w:rPr>
          <w:sz w:val="24"/>
          <w:szCs w:val="24"/>
        </w:rPr>
      </w:pPr>
    </w:p>
    <w:p w:rsidR="00A30B79" w:rsidRDefault="001E41E4">
      <w:pPr>
        <w:tabs>
          <w:tab w:val="left" w:pos="70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Таблица турнира:</w:t>
      </w:r>
    </w:p>
    <w:p w:rsidR="00A30B79" w:rsidRDefault="00A30B79">
      <w:pPr>
        <w:spacing w:line="60" w:lineRule="exact"/>
        <w:rPr>
          <w:sz w:val="24"/>
          <w:szCs w:val="24"/>
        </w:rPr>
      </w:pPr>
    </w:p>
    <w:p w:rsidR="00A30B79" w:rsidRDefault="001E41E4">
      <w:pPr>
        <w:spacing w:line="222" w:lineRule="auto"/>
        <w:ind w:firstLine="28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а) для турниров по круговой системе: сканированную таблицу, заверенную печатью, проводящей организации и подписями главного судьи, и заместителями главного судьи (если таковые были). </w:t>
      </w:r>
      <w:hyperlink r:id="rId9" w:history="1">
        <w:r w:rsidRPr="001E41E4">
          <w:rPr>
            <w:rStyle w:val="a3"/>
            <w:rFonts w:ascii="Calibri" w:eastAsia="Calibri" w:hAnsi="Calibri" w:cs="Calibri"/>
            <w:sz w:val="24"/>
            <w:szCs w:val="24"/>
          </w:rPr>
          <w:t>Образец таблицы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.</w:t>
      </w:r>
    </w:p>
    <w:p w:rsidR="00A30B79" w:rsidRDefault="00A30B79">
      <w:pPr>
        <w:spacing w:line="66" w:lineRule="exact"/>
        <w:rPr>
          <w:sz w:val="24"/>
          <w:szCs w:val="24"/>
        </w:rPr>
      </w:pPr>
    </w:p>
    <w:p w:rsidR="00A30B79" w:rsidRDefault="001E41E4">
      <w:pPr>
        <w:spacing w:line="222" w:lineRule="auto"/>
        <w:ind w:firstLine="28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б) Для турниров по швейцарской </w:t>
      </w:r>
      <w:r>
        <w:rPr>
          <w:rFonts w:ascii="Calibri" w:eastAsia="Calibri" w:hAnsi="Calibri" w:cs="Calibri"/>
          <w:sz w:val="24"/>
          <w:szCs w:val="24"/>
        </w:rPr>
        <w:t>системе необходимо представить итоговый протокол, заверенный подписями главного судьи, заместителя главного судьи и печатью проводящей организации в сканированном и обычном виде.</w:t>
      </w:r>
    </w:p>
    <w:p w:rsidR="00A30B79" w:rsidRDefault="00A30B79">
      <w:pPr>
        <w:spacing w:line="286" w:lineRule="exact"/>
        <w:rPr>
          <w:sz w:val="24"/>
          <w:szCs w:val="24"/>
        </w:rPr>
      </w:pPr>
    </w:p>
    <w:p w:rsidR="00A30B79" w:rsidRDefault="001E41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 ПРИМЕЧАНИЕ.</w:t>
      </w:r>
    </w:p>
    <w:p w:rsidR="00A30B79" w:rsidRDefault="001E41E4">
      <w:pPr>
        <w:tabs>
          <w:tab w:val="left" w:pos="70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ФШР имеет право обсчитать/аннулировать любой турнир без о</w:t>
      </w:r>
      <w:r>
        <w:rPr>
          <w:rFonts w:ascii="Calibri" w:eastAsia="Calibri" w:hAnsi="Calibri" w:cs="Calibri"/>
          <w:sz w:val="23"/>
          <w:szCs w:val="23"/>
        </w:rPr>
        <w:t>бъяснения причины.</w:t>
      </w:r>
    </w:p>
    <w:p w:rsidR="00A30B79" w:rsidRDefault="00A30B79">
      <w:pPr>
        <w:sectPr w:rsidR="00A30B79">
          <w:pgSz w:w="11900" w:h="16838"/>
          <w:pgMar w:top="1440" w:right="839" w:bottom="1440" w:left="1440" w:header="0" w:footer="0" w:gutter="0"/>
          <w:cols w:space="720" w:equalWidth="0">
            <w:col w:w="9620"/>
          </w:cols>
        </w:sectPr>
      </w:pPr>
    </w:p>
    <w:p w:rsidR="00A30B79" w:rsidRDefault="001E41E4">
      <w:pPr>
        <w:numPr>
          <w:ilvl w:val="0"/>
          <w:numId w:val="4"/>
        </w:numPr>
        <w:tabs>
          <w:tab w:val="left" w:pos="720"/>
        </w:tabs>
        <w:spacing w:line="215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ФШР имеет право затребовать у организаторов дополнительную информацию как в течение турнира, так и после его окончания.</w:t>
      </w:r>
    </w:p>
    <w:p w:rsidR="00A30B79" w:rsidRDefault="00A30B79">
      <w:pPr>
        <w:spacing w:line="58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4"/>
        </w:numPr>
        <w:tabs>
          <w:tab w:val="left" w:pos="720"/>
        </w:tabs>
        <w:spacing w:line="215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Устанавливается крайний срок внесение турнира в автоматизированную систему расчета (АСР) – 60 </w:t>
      </w:r>
      <w:r>
        <w:rPr>
          <w:rFonts w:ascii="Calibri" w:eastAsia="Calibri" w:hAnsi="Calibri" w:cs="Calibri"/>
          <w:sz w:val="24"/>
          <w:szCs w:val="24"/>
        </w:rPr>
        <w:t>календарных дней после даты окончания турнира.</w:t>
      </w:r>
    </w:p>
    <w:p w:rsidR="00A30B79" w:rsidRDefault="00A30B79">
      <w:pPr>
        <w:spacing w:line="60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4"/>
        </w:numPr>
        <w:tabs>
          <w:tab w:val="left" w:pos="720"/>
        </w:tabs>
        <w:spacing w:line="215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Необходимо публиковать итоговые отчёты о проведении турнира на официальном сайте (если таковой есть) турнира.</w:t>
      </w:r>
    </w:p>
    <w:p w:rsidR="00A30B79" w:rsidRDefault="00A30B79">
      <w:pPr>
        <w:spacing w:line="46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4"/>
        </w:numPr>
        <w:tabs>
          <w:tab w:val="left" w:pos="622"/>
        </w:tabs>
        <w:spacing w:line="215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Внесение правок после обсчета турнира допускается. Заявка по электронной почте должна поступить в</w:t>
      </w:r>
      <w:r>
        <w:rPr>
          <w:rFonts w:ascii="Calibri" w:eastAsia="Calibri" w:hAnsi="Calibri" w:cs="Calibri"/>
          <w:sz w:val="24"/>
          <w:szCs w:val="24"/>
        </w:rPr>
        <w:t xml:space="preserve"> ФШР от РРА.</w:t>
      </w:r>
    </w:p>
    <w:p w:rsidR="00A30B79" w:rsidRDefault="00A30B79">
      <w:pPr>
        <w:spacing w:line="46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4"/>
        </w:numPr>
        <w:tabs>
          <w:tab w:val="left" w:pos="622"/>
        </w:tabs>
        <w:spacing w:line="215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Обсчитываются на российский рейтинг только соревнования, проведенные по системам, указанным в правилах вида спорта «шахматы».</w:t>
      </w:r>
    </w:p>
    <w:p w:rsidR="00A30B79" w:rsidRDefault="001E41E4">
      <w:pPr>
        <w:numPr>
          <w:ilvl w:val="0"/>
          <w:numId w:val="4"/>
        </w:numPr>
        <w:tabs>
          <w:tab w:val="left" w:pos="620"/>
        </w:tabs>
        <w:ind w:left="620" w:hanging="3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Для игрока учитывается его рейтинг ФШР на дату начала турнира.</w:t>
      </w:r>
    </w:p>
    <w:p w:rsidR="00A30B79" w:rsidRDefault="00A30B79">
      <w:pPr>
        <w:spacing w:line="52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4"/>
        </w:numPr>
        <w:tabs>
          <w:tab w:val="left" w:pos="622"/>
        </w:tabs>
        <w:spacing w:line="218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Спортивные разряды по шахматам (быстрым шахматам, бл</w:t>
      </w:r>
      <w:r>
        <w:rPr>
          <w:rFonts w:ascii="Calibri" w:eastAsia="Calibri" w:hAnsi="Calibri" w:cs="Calibri"/>
          <w:sz w:val="24"/>
          <w:szCs w:val="24"/>
        </w:rPr>
        <w:t>ицу) не присваиваются по соревнованиям, не поданным на обсчет российского рейтинга.</w:t>
      </w:r>
    </w:p>
    <w:p w:rsidR="00A30B79" w:rsidRDefault="001E41E4">
      <w:pPr>
        <w:numPr>
          <w:ilvl w:val="0"/>
          <w:numId w:val="4"/>
        </w:numPr>
        <w:tabs>
          <w:tab w:val="left" w:pos="620"/>
        </w:tabs>
        <w:ind w:left="620" w:hanging="3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Расчет нормы разряда/звания происходит в день окончания турнира.</w:t>
      </w:r>
    </w:p>
    <w:p w:rsidR="00A30B79" w:rsidRDefault="00A30B79">
      <w:pPr>
        <w:spacing w:line="52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4"/>
        </w:numPr>
        <w:tabs>
          <w:tab w:val="left" w:pos="720"/>
        </w:tabs>
        <w:spacing w:line="218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АСР данные на спортивных судей, получивших оценку неудовлетворительно, не вносятся.</w:t>
      </w:r>
    </w:p>
    <w:p w:rsidR="00A30B79" w:rsidRDefault="00A30B79">
      <w:pPr>
        <w:spacing w:line="49" w:lineRule="exact"/>
        <w:rPr>
          <w:rFonts w:ascii="Calibri" w:eastAsia="Calibri" w:hAnsi="Calibri" w:cs="Calibri"/>
          <w:sz w:val="24"/>
          <w:szCs w:val="24"/>
        </w:rPr>
      </w:pPr>
    </w:p>
    <w:p w:rsidR="00A30B79" w:rsidRDefault="001E41E4">
      <w:pPr>
        <w:numPr>
          <w:ilvl w:val="0"/>
          <w:numId w:val="4"/>
        </w:numPr>
        <w:tabs>
          <w:tab w:val="left" w:pos="720"/>
        </w:tabs>
        <w:spacing w:line="215" w:lineRule="auto"/>
        <w:ind w:firstLine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Соревнования с обсч</w:t>
      </w:r>
      <w:r>
        <w:rPr>
          <w:rFonts w:ascii="Calibri" w:eastAsia="Calibri" w:hAnsi="Calibri" w:cs="Calibri"/>
          <w:sz w:val="24"/>
          <w:szCs w:val="24"/>
        </w:rPr>
        <w:t>етом российского рейтинга могут судить только спортивные судьи, имеющие непросроченные судейские категории.</w:t>
      </w:r>
    </w:p>
    <w:sectPr w:rsidR="00A30B79">
      <w:pgSz w:w="11900" w:h="16838"/>
      <w:pgMar w:top="1178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8661D98"/>
    <w:lvl w:ilvl="0" w:tplc="8F9E39B6">
      <w:start w:val="1"/>
      <w:numFmt w:val="decimal"/>
      <w:lvlText w:val="%1."/>
      <w:lvlJc w:val="left"/>
    </w:lvl>
    <w:lvl w:ilvl="1" w:tplc="8D022F8C">
      <w:numFmt w:val="decimal"/>
      <w:lvlText w:val=""/>
      <w:lvlJc w:val="left"/>
    </w:lvl>
    <w:lvl w:ilvl="2" w:tplc="809EAAE4">
      <w:numFmt w:val="decimal"/>
      <w:lvlText w:val=""/>
      <w:lvlJc w:val="left"/>
    </w:lvl>
    <w:lvl w:ilvl="3" w:tplc="9FE832DA">
      <w:numFmt w:val="decimal"/>
      <w:lvlText w:val=""/>
      <w:lvlJc w:val="left"/>
    </w:lvl>
    <w:lvl w:ilvl="4" w:tplc="1C6CCDB4">
      <w:numFmt w:val="decimal"/>
      <w:lvlText w:val=""/>
      <w:lvlJc w:val="left"/>
    </w:lvl>
    <w:lvl w:ilvl="5" w:tplc="25021420">
      <w:numFmt w:val="decimal"/>
      <w:lvlText w:val=""/>
      <w:lvlJc w:val="left"/>
    </w:lvl>
    <w:lvl w:ilvl="6" w:tplc="6A02373A">
      <w:numFmt w:val="decimal"/>
      <w:lvlText w:val=""/>
      <w:lvlJc w:val="left"/>
    </w:lvl>
    <w:lvl w:ilvl="7" w:tplc="3EC0CF4A">
      <w:numFmt w:val="decimal"/>
      <w:lvlText w:val=""/>
      <w:lvlJc w:val="left"/>
    </w:lvl>
    <w:lvl w:ilvl="8" w:tplc="BF5E353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AF049900"/>
    <w:lvl w:ilvl="0" w:tplc="2884A6AA">
      <w:start w:val="1"/>
      <w:numFmt w:val="bullet"/>
      <w:lvlText w:val="В"/>
      <w:lvlJc w:val="left"/>
    </w:lvl>
    <w:lvl w:ilvl="1" w:tplc="2FFAD764">
      <w:numFmt w:val="decimal"/>
      <w:lvlText w:val=""/>
      <w:lvlJc w:val="left"/>
    </w:lvl>
    <w:lvl w:ilvl="2" w:tplc="9FE45CEC">
      <w:numFmt w:val="decimal"/>
      <w:lvlText w:val=""/>
      <w:lvlJc w:val="left"/>
    </w:lvl>
    <w:lvl w:ilvl="3" w:tplc="2266E874">
      <w:numFmt w:val="decimal"/>
      <w:lvlText w:val=""/>
      <w:lvlJc w:val="left"/>
    </w:lvl>
    <w:lvl w:ilvl="4" w:tplc="5A40AEDC">
      <w:numFmt w:val="decimal"/>
      <w:lvlText w:val=""/>
      <w:lvlJc w:val="left"/>
    </w:lvl>
    <w:lvl w:ilvl="5" w:tplc="DAF20504">
      <w:numFmt w:val="decimal"/>
      <w:lvlText w:val=""/>
      <w:lvlJc w:val="left"/>
    </w:lvl>
    <w:lvl w:ilvl="6" w:tplc="AAE8367A">
      <w:numFmt w:val="decimal"/>
      <w:lvlText w:val=""/>
      <w:lvlJc w:val="left"/>
    </w:lvl>
    <w:lvl w:ilvl="7" w:tplc="765E5FEA">
      <w:numFmt w:val="decimal"/>
      <w:lvlText w:val=""/>
      <w:lvlJc w:val="left"/>
    </w:lvl>
    <w:lvl w:ilvl="8" w:tplc="FBB4C8C4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26EA3D86"/>
    <w:lvl w:ilvl="0" w:tplc="A544CEC6">
      <w:start w:val="1"/>
      <w:numFmt w:val="bullet"/>
      <w:lvlText w:val="В"/>
      <w:lvlJc w:val="left"/>
    </w:lvl>
    <w:lvl w:ilvl="1" w:tplc="1690E772">
      <w:numFmt w:val="decimal"/>
      <w:lvlText w:val=""/>
      <w:lvlJc w:val="left"/>
    </w:lvl>
    <w:lvl w:ilvl="2" w:tplc="C61464F4">
      <w:numFmt w:val="decimal"/>
      <w:lvlText w:val=""/>
      <w:lvlJc w:val="left"/>
    </w:lvl>
    <w:lvl w:ilvl="3" w:tplc="40EE5BDE">
      <w:numFmt w:val="decimal"/>
      <w:lvlText w:val=""/>
      <w:lvlJc w:val="left"/>
    </w:lvl>
    <w:lvl w:ilvl="4" w:tplc="D5967B2E">
      <w:numFmt w:val="decimal"/>
      <w:lvlText w:val=""/>
      <w:lvlJc w:val="left"/>
    </w:lvl>
    <w:lvl w:ilvl="5" w:tplc="2032A820">
      <w:numFmt w:val="decimal"/>
      <w:lvlText w:val=""/>
      <w:lvlJc w:val="left"/>
    </w:lvl>
    <w:lvl w:ilvl="6" w:tplc="61A6ADA4">
      <w:numFmt w:val="decimal"/>
      <w:lvlText w:val=""/>
      <w:lvlJc w:val="left"/>
    </w:lvl>
    <w:lvl w:ilvl="7" w:tplc="DACEA53E">
      <w:numFmt w:val="decimal"/>
      <w:lvlText w:val=""/>
      <w:lvlJc w:val="left"/>
    </w:lvl>
    <w:lvl w:ilvl="8" w:tplc="CCFEAAB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42F28A68"/>
    <w:lvl w:ilvl="0" w:tplc="1DB068AC">
      <w:start w:val="2"/>
      <w:numFmt w:val="decimal"/>
      <w:lvlText w:val="%1."/>
      <w:lvlJc w:val="left"/>
    </w:lvl>
    <w:lvl w:ilvl="1" w:tplc="051C61F8">
      <w:numFmt w:val="decimal"/>
      <w:lvlText w:val=""/>
      <w:lvlJc w:val="left"/>
    </w:lvl>
    <w:lvl w:ilvl="2" w:tplc="D30C0E7A">
      <w:numFmt w:val="decimal"/>
      <w:lvlText w:val=""/>
      <w:lvlJc w:val="left"/>
    </w:lvl>
    <w:lvl w:ilvl="3" w:tplc="D90C2050">
      <w:numFmt w:val="decimal"/>
      <w:lvlText w:val=""/>
      <w:lvlJc w:val="left"/>
    </w:lvl>
    <w:lvl w:ilvl="4" w:tplc="F626C600">
      <w:numFmt w:val="decimal"/>
      <w:lvlText w:val=""/>
      <w:lvlJc w:val="left"/>
    </w:lvl>
    <w:lvl w:ilvl="5" w:tplc="6ED6A846">
      <w:numFmt w:val="decimal"/>
      <w:lvlText w:val=""/>
      <w:lvlJc w:val="left"/>
    </w:lvl>
    <w:lvl w:ilvl="6" w:tplc="22E63BB2">
      <w:numFmt w:val="decimal"/>
      <w:lvlText w:val=""/>
      <w:lvlJc w:val="left"/>
    </w:lvl>
    <w:lvl w:ilvl="7" w:tplc="7BD06BBC">
      <w:numFmt w:val="decimal"/>
      <w:lvlText w:val=""/>
      <w:lvlJc w:val="left"/>
    </w:lvl>
    <w:lvl w:ilvl="8" w:tplc="7B803A3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79"/>
    <w:rsid w:val="001E41E4"/>
    <w:rsid w:val="00A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59A9-A4DD-4AA5-BEAB-0B78BDD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4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08c/08c733b06504d6b6d80bdf2bbbb44f9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tings.ruchess.ru/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hess.ru/upload/iblock/47f/47f3bfd8ac91fad98f6ffd2a5225b8e0.xls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upload/iblock/dba/dbad45dc54ee0ff010e7ead125aafea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Victorija A. Skachkova</cp:lastModifiedBy>
  <cp:revision>2</cp:revision>
  <dcterms:created xsi:type="dcterms:W3CDTF">2020-01-27T13:02:00Z</dcterms:created>
  <dcterms:modified xsi:type="dcterms:W3CDTF">2020-01-27T13:02:00Z</dcterms:modified>
</cp:coreProperties>
</file>